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0BF" w:rsidRDefault="006C4019">
      <w:pPr>
        <w:jc w:val="right"/>
        <w:rPr>
          <w:b/>
          <w:i/>
          <w:sz w:val="20"/>
        </w:rPr>
      </w:pPr>
      <w:r>
        <w:rPr>
          <w:b/>
          <w:i/>
          <w:sz w:val="20"/>
        </w:rPr>
        <w:t xml:space="preserve">Приложение 2  </w:t>
      </w:r>
    </w:p>
    <w:p w:rsidR="00CA40BF" w:rsidRDefault="006C4019">
      <w:pPr>
        <w:ind w:firstLine="0"/>
        <w:rPr>
          <w:b/>
          <w:i/>
          <w:sz w:val="20"/>
        </w:rPr>
      </w:pPr>
      <w:r>
        <w:rPr>
          <w:i/>
          <w:sz w:val="20"/>
        </w:rPr>
        <w:t xml:space="preserve">к заявке </w:t>
      </w:r>
      <w:r>
        <w:rPr>
          <w:bCs/>
          <w:sz w:val="20"/>
        </w:rPr>
        <w:t xml:space="preserve">на участие в Конкурсе разработок в области информатизации здравоохранения </w:t>
      </w:r>
      <w:r>
        <w:rPr>
          <w:sz w:val="20"/>
        </w:rPr>
        <w:t>«Лучшее ИТ решение для здравоохранения 2026».</w:t>
      </w:r>
    </w:p>
    <w:p w:rsidR="00CA40BF" w:rsidRDefault="006C4019">
      <w:pPr>
        <w:pStyle w:val="ad"/>
        <w:ind w:firstLine="0"/>
        <w:rPr>
          <w:b/>
          <w:sz w:val="20"/>
        </w:rPr>
      </w:pPr>
      <w:r>
        <w:rPr>
          <w:b/>
          <w:sz w:val="20"/>
        </w:rPr>
        <w:t>Организация: ООО «</w:t>
      </w:r>
      <w:proofErr w:type="spellStart"/>
      <w:r>
        <w:rPr>
          <w:b/>
          <w:sz w:val="20"/>
        </w:rPr>
        <w:t>Авантелеком</w:t>
      </w:r>
      <w:proofErr w:type="spellEnd"/>
      <w:r>
        <w:rPr>
          <w:b/>
          <w:sz w:val="20"/>
        </w:rPr>
        <w:t>»</w:t>
      </w:r>
    </w:p>
    <w:p w:rsidR="00CA40BF" w:rsidRDefault="006C4019">
      <w:pPr>
        <w:pStyle w:val="ad"/>
        <w:ind w:firstLine="0"/>
        <w:rPr>
          <w:b/>
          <w:sz w:val="20"/>
        </w:rPr>
      </w:pPr>
      <w:r>
        <w:rPr>
          <w:b/>
          <w:sz w:val="20"/>
        </w:rPr>
        <w:t xml:space="preserve">Разработка: Единый децентрализованный контакт-центр Минздрава </w:t>
      </w:r>
      <w:r>
        <w:rPr>
          <w:b/>
          <w:sz w:val="20"/>
        </w:rPr>
        <w:t>региона</w:t>
      </w:r>
    </w:p>
    <w:p w:rsidR="00CA40BF" w:rsidRDefault="00CA40BF">
      <w:pPr>
        <w:jc w:val="right"/>
        <w:rPr>
          <w:b/>
        </w:rPr>
      </w:pPr>
    </w:p>
    <w:p w:rsidR="00CA40BF" w:rsidRDefault="006C4019">
      <w:pPr>
        <w:jc w:val="center"/>
        <w:rPr>
          <w:b/>
        </w:rPr>
      </w:pPr>
      <w:r>
        <w:rPr>
          <w:b/>
          <w:bCs/>
        </w:rPr>
        <w:t>АННОТАЦИЯ</w:t>
      </w:r>
    </w:p>
    <w:p w:rsidR="00CA40BF" w:rsidRDefault="006C4019">
      <w:pPr>
        <w:spacing w:after="8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Единый </w:t>
      </w:r>
      <w:r>
        <w:rPr>
          <w:sz w:val="24"/>
          <w:szCs w:val="24"/>
        </w:rPr>
        <w:t>децентрализованный контакт-центр (ЕДК) — готовый к масштабированию программно-технологический продукт «</w:t>
      </w:r>
      <w:proofErr w:type="spellStart"/>
      <w:r>
        <w:rPr>
          <w:sz w:val="24"/>
          <w:szCs w:val="24"/>
        </w:rPr>
        <w:t>Авантелеком</w:t>
      </w:r>
      <w:proofErr w:type="spellEnd"/>
      <w:r>
        <w:rPr>
          <w:sz w:val="24"/>
          <w:szCs w:val="24"/>
        </w:rPr>
        <w:t>» для региональных систем здравоохранения. Решение объединяет регистратуры и контакт-центры медицинских организаций в единый контур взаимодейс</w:t>
      </w:r>
      <w:r>
        <w:rPr>
          <w:sz w:val="24"/>
          <w:szCs w:val="24"/>
        </w:rPr>
        <w:t>твия с гражданами, сохраняя самостоятельность каждого учреждения. Также при необходимости в единый контур подключается Единая служба «122» региона. ЕДК может последовательно масштабироваться от нескольких медицинских организаций до всей региональной сети.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Предпосылки для внедрения ЕДК:</w:t>
      </w:r>
      <w:r>
        <w:rPr>
          <w:sz w:val="24"/>
          <w:szCs w:val="24"/>
        </w:rPr>
        <w:t xml:space="preserve"> разрозненная телефонная инфраструктура государственных медицинских учреждений, отсутствие единых стандартов обслуживания, высокий уровень пропущенных вызовов и невозможность получить сводную аналитику по региону. Особенно ак</w:t>
      </w:r>
      <w:r>
        <w:rPr>
          <w:sz w:val="24"/>
          <w:szCs w:val="24"/>
        </w:rPr>
        <w:t>туальны эти проблемы для территорий с удаленными населенными пунктами, аналоговыми линиями связи и неоднородным уровнем технической оснащенности медицинских организаций. ЕДК позволяет повысить доступность медицинской помощи, обеспечить непрерывность телефо</w:t>
      </w:r>
      <w:r>
        <w:rPr>
          <w:sz w:val="24"/>
          <w:szCs w:val="24"/>
        </w:rPr>
        <w:t>нного обслуживания и перевести управление обращениями граждан на основе объективных данных.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Принцип работы продукта</w:t>
      </w:r>
      <w:r>
        <w:rPr>
          <w:sz w:val="24"/>
          <w:szCs w:val="24"/>
        </w:rPr>
        <w:t xml:space="preserve"> основан на децентрализованной архитектуре.</w:t>
      </w:r>
    </w:p>
    <w:p w:rsidR="00CA40BF" w:rsidRDefault="006C4019">
      <w:pPr>
        <w:spacing w:after="8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1. В каждой медицинской организации разворачивается локальное ядро, которое обеспечивает прием и</w:t>
      </w:r>
      <w:r>
        <w:rPr>
          <w:sz w:val="24"/>
          <w:szCs w:val="24"/>
        </w:rPr>
        <w:t xml:space="preserve"> маршрутизацию вызовов, управление голосовым меню, запись разговоров, контроль очередей и пропущенных обращений, а также формирование локальной статистики.</w:t>
      </w:r>
    </w:p>
    <w:p w:rsidR="006C4019" w:rsidRDefault="006C4019">
      <w:pPr>
        <w:spacing w:after="8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 Данные передаются в централизованное региональное ядро, где объединяются в общие </w:t>
      </w:r>
      <w:proofErr w:type="spellStart"/>
      <w:r>
        <w:rPr>
          <w:sz w:val="24"/>
          <w:szCs w:val="24"/>
        </w:rPr>
        <w:t>дашборды</w:t>
      </w:r>
      <w:proofErr w:type="spellEnd"/>
      <w:r>
        <w:rPr>
          <w:sz w:val="24"/>
          <w:szCs w:val="24"/>
        </w:rPr>
        <w:t xml:space="preserve"> и управ</w:t>
      </w:r>
      <w:r>
        <w:rPr>
          <w:sz w:val="24"/>
          <w:szCs w:val="24"/>
        </w:rPr>
        <w:t>ленческие отчеты. Медицинские организации сохраняют возможность самостоятельно управлять телефонией с учетом своей структуры, графика и нагрузки, а региональный орган управления здравоохранением получает единую картину работы всей сети.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Функциональные воз</w:t>
      </w:r>
      <w:r>
        <w:rPr>
          <w:b/>
          <w:bCs/>
          <w:sz w:val="24"/>
          <w:szCs w:val="24"/>
        </w:rPr>
        <w:t>можности ЕДК</w:t>
      </w:r>
      <w:r>
        <w:rPr>
          <w:sz w:val="24"/>
          <w:szCs w:val="24"/>
        </w:rPr>
        <w:t xml:space="preserve"> включают единое голосовое меню, гибкую маршрутизацию и перераспределение вызовов между учреждениями, резервное подключение операторов службы «122», обратный звонок, контроль отработки пропущенных обращений, запись разговоров, мониторинг нагруз</w:t>
      </w:r>
      <w:r>
        <w:rPr>
          <w:sz w:val="24"/>
          <w:szCs w:val="24"/>
        </w:rPr>
        <w:t>ки и доступности операторов, централизованную аналитику и сравнение показателей медицинских организаций. Архитектура продукта создает основу для дальнейшего применения искусственного интеллекта и автоматизации обслуживания пациентов.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Ключевое преимущество</w:t>
      </w:r>
      <w:r>
        <w:rPr>
          <w:b/>
          <w:bCs/>
          <w:sz w:val="24"/>
          <w:szCs w:val="24"/>
        </w:rPr>
        <w:t xml:space="preserve"> ЕДК</w:t>
      </w:r>
      <w:r>
        <w:rPr>
          <w:sz w:val="24"/>
          <w:szCs w:val="24"/>
        </w:rPr>
        <w:t xml:space="preserve"> — сочетание централизованного управления и локальной автономности. Для масштабирования не требуется одномоментная замена всей региональной телефонной инфраструктуры: медицинские организации подключаются поэтапно, в том числе учреждения с устаревшими и</w:t>
      </w:r>
      <w:r>
        <w:rPr>
          <w:sz w:val="24"/>
          <w:szCs w:val="24"/>
        </w:rPr>
        <w:t xml:space="preserve"> аналоговыми линиями. Это снижает риск перерывов в работе регистратур и позволяет адаптировать внедрение к техническим </w:t>
      </w:r>
      <w:r>
        <w:rPr>
          <w:sz w:val="24"/>
          <w:szCs w:val="24"/>
        </w:rPr>
        <w:lastRenderedPageBreak/>
        <w:t>особенностям конкретного региона.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Пример практического применения продукта — Единый децентрализованный контакт-центр Минздрава Хабаровск</w:t>
      </w:r>
      <w:r>
        <w:rPr>
          <w:sz w:val="24"/>
          <w:szCs w:val="24"/>
        </w:rPr>
        <w:t>ого края. Целевая сеть проекта включает 56 медицинских организаций. В 2025 году к ЕДК подключено 19 учреждений, к 1 августа 2026 года — еще 16. За первые полгода работы доля пропущенных звонков в подключенных учреждениях снизилась с 50% до 5–10%, а в отдел</w:t>
      </w:r>
      <w:r>
        <w:rPr>
          <w:sz w:val="24"/>
          <w:szCs w:val="24"/>
        </w:rPr>
        <w:t>ьных организациях — до 1%. Минздрав получил централизованные инструменты контроля доступности телефонных каналов, анализа нагрузки</w:t>
      </w:r>
    </w:p>
    <w:p w:rsidR="00CA40BF" w:rsidRDefault="006C4019">
      <w:pPr>
        <w:spacing w:after="80" w:line="240" w:lineRule="auto"/>
        <w:jc w:val="lef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и управления качеством работы регистратур.</w:t>
      </w:r>
      <w:r>
        <w:br w:type="page"/>
      </w:r>
    </w:p>
    <w:p w:rsidR="00CA40BF" w:rsidRDefault="006C4019">
      <w:pPr>
        <w:tabs>
          <w:tab w:val="left" w:pos="467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Инструкция </w:t>
      </w:r>
    </w:p>
    <w:p w:rsidR="00CA40BF" w:rsidRDefault="006C4019">
      <w:pPr>
        <w:tabs>
          <w:tab w:val="left" w:pos="4678"/>
        </w:tabs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по заполнению приложений к заявке </w:t>
      </w:r>
      <w:r>
        <w:rPr>
          <w:b/>
          <w:bCs/>
          <w:sz w:val="22"/>
          <w:szCs w:val="22"/>
        </w:rPr>
        <w:t xml:space="preserve">на участие в Конкурсе разработок в области информатизации здравоохранения </w:t>
      </w:r>
    </w:p>
    <w:p w:rsidR="00CA40BF" w:rsidRDefault="006C4019">
      <w:pPr>
        <w:tabs>
          <w:tab w:val="left" w:pos="4678"/>
        </w:tabs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«Лучшее ИТ решение для здравоохранения 2026».</w:t>
      </w:r>
    </w:p>
    <w:p w:rsidR="00CA40BF" w:rsidRDefault="00CA40BF">
      <w:pPr>
        <w:spacing w:line="240" w:lineRule="auto"/>
        <w:rPr>
          <w:sz w:val="22"/>
          <w:szCs w:val="22"/>
        </w:rPr>
      </w:pPr>
    </w:p>
    <w:p w:rsidR="00CA40BF" w:rsidRDefault="006C4019">
      <w:pPr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Пояснение по порядку заполнения граф в таблице 1 параметров медицинской информационной системы:</w:t>
      </w:r>
    </w:p>
    <w:p w:rsidR="00CA40BF" w:rsidRDefault="00CA40BF">
      <w:pPr>
        <w:spacing w:line="240" w:lineRule="auto"/>
        <w:rPr>
          <w:b/>
          <w:sz w:val="22"/>
          <w:szCs w:val="22"/>
        </w:rPr>
      </w:pP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заполнения графы «Значение»:</w:t>
      </w:r>
    </w:p>
    <w:p w:rsidR="00CA40BF" w:rsidRDefault="006C4019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 графе «Значение» проставляется один из следующих знаков:</w:t>
      </w:r>
    </w:p>
    <w:p w:rsidR="00CA40BF" w:rsidRDefault="006C4019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-в случае наличия только двух значений параметра проставляется + или -;</w:t>
      </w:r>
    </w:p>
    <w:p w:rsidR="00CA40BF" w:rsidRDefault="006C4019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 случае многозначного параметра – одно из значений, указанных в приложении к таблице (см. ниже), либо данные об организаци</w:t>
      </w:r>
      <w:r>
        <w:rPr>
          <w:sz w:val="22"/>
          <w:szCs w:val="22"/>
        </w:rPr>
        <w:t>и (системе) в общепринятой форме (</w:t>
      </w:r>
      <w:proofErr w:type="gramStart"/>
      <w:r>
        <w:rPr>
          <w:sz w:val="22"/>
          <w:szCs w:val="22"/>
        </w:rPr>
        <w:t>например</w:t>
      </w:r>
      <w:proofErr w:type="gramEnd"/>
      <w:r>
        <w:rPr>
          <w:sz w:val="22"/>
          <w:szCs w:val="22"/>
        </w:rPr>
        <w:t xml:space="preserve"> название, адрес и т.д. – с большой буквы, без кавычек и пробелов);</w:t>
      </w:r>
    </w:p>
    <w:p w:rsidR="00CA40BF" w:rsidRDefault="006C4019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 случае числового – соответствующее точное или усредненное значение, либо числовой диапазон в размерности (за период), указанной в строке «Пара</w:t>
      </w:r>
      <w:r>
        <w:rPr>
          <w:sz w:val="22"/>
          <w:szCs w:val="22"/>
        </w:rPr>
        <w:t>метр классификации»</w:t>
      </w:r>
    </w:p>
    <w:p w:rsidR="00CA40BF" w:rsidRDefault="00CA40BF">
      <w:pPr>
        <w:spacing w:line="240" w:lineRule="auto"/>
        <w:rPr>
          <w:sz w:val="22"/>
          <w:szCs w:val="22"/>
        </w:rPr>
      </w:pPr>
    </w:p>
    <w:p w:rsidR="00CA40BF" w:rsidRDefault="006C4019">
      <w:pPr>
        <w:pStyle w:val="af1"/>
        <w:spacing w:after="0" w:line="240" w:lineRule="auto"/>
        <w:ind w:left="0"/>
      </w:pPr>
      <w:r>
        <w:rPr>
          <w:rFonts w:ascii="Times New Roman" w:hAnsi="Times New Roman"/>
          <w:b/>
        </w:rPr>
        <w:t>Комментарии к заполнению отдельных граф столбца «Параметр»:</w:t>
      </w:r>
    </w:p>
    <w:p w:rsidR="00CA40BF" w:rsidRDefault="00CA40BF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Наименование информационной системы.</w:t>
      </w:r>
    </w:p>
    <w:p w:rsidR="00CA40BF" w:rsidRDefault="006C4019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Указывается торговая марка информационной системы, параметры которой вносятся в таблицу (специализированный программный продукт, </w:t>
      </w:r>
      <w:r>
        <w:rPr>
          <w:sz w:val="22"/>
          <w:szCs w:val="22"/>
        </w:rPr>
        <w:t>независимый функциональный модуль или полная комплексная система – по выбору разработчика. Важно строгое соответствие данных, приведенных в таблице программному продукту, указанному в графе «Наименование информационной системы».)</w:t>
      </w: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Масштаб реализованного вне</w:t>
      </w:r>
      <w:r>
        <w:rPr>
          <w:rFonts w:ascii="Times New Roman" w:hAnsi="Times New Roman"/>
          <w:b/>
        </w:rPr>
        <w:t>дрения.</w:t>
      </w:r>
    </w:p>
    <w:p w:rsidR="00CA40BF" w:rsidRDefault="006C4019">
      <w:pPr>
        <w:pStyle w:val="af1"/>
        <w:spacing w:after="0" w:line="240" w:lineRule="auto"/>
        <w:ind w:left="0"/>
      </w:pPr>
      <w:r>
        <w:rPr>
          <w:rFonts w:ascii="Times New Roman" w:hAnsi="Times New Roman"/>
        </w:rPr>
        <w:t>Указывается максимальный масштаб реализованного успешного внедрения системы (на базе выполненных контрактов, которые разработчик готов предоставить по требованию комиссии): Федеральный, региональный или муниципальный (количество субъектов</w:t>
      </w:r>
      <w:proofErr w:type="gramStart"/>
      <w:r>
        <w:rPr>
          <w:rFonts w:ascii="Times New Roman" w:hAnsi="Times New Roman"/>
        </w:rPr>
        <w:t>) ,</w:t>
      </w:r>
      <w:proofErr w:type="gramEnd"/>
      <w:r>
        <w:rPr>
          <w:rFonts w:ascii="Times New Roman" w:hAnsi="Times New Roman"/>
        </w:rPr>
        <w:t xml:space="preserve"> МО (ко</w:t>
      </w:r>
      <w:r>
        <w:rPr>
          <w:rFonts w:ascii="Times New Roman" w:hAnsi="Times New Roman"/>
        </w:rPr>
        <w:t xml:space="preserve">личество). (наличие соответствующего исполненного контракта)  </w:t>
      </w: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Среднее количество внедрений за 2023-2025 гг., в год.</w:t>
      </w:r>
    </w:p>
    <w:p w:rsidR="00CA40BF" w:rsidRDefault="006C4019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Указывается среднее количество медицинских организаций, в которых внедрена система (в полном объеме или частично) в среднем за год в диапаз</w:t>
      </w:r>
      <w:r>
        <w:rPr>
          <w:sz w:val="22"/>
          <w:szCs w:val="22"/>
        </w:rPr>
        <w:t>оне указанного временного интервала на основе не менее трех публичных контрактов.</w:t>
      </w: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Среднее количество </w:t>
      </w:r>
      <w:proofErr w:type="spellStart"/>
      <w:proofErr w:type="gramStart"/>
      <w:r>
        <w:rPr>
          <w:rFonts w:ascii="Times New Roman" w:hAnsi="Times New Roman"/>
          <w:b/>
        </w:rPr>
        <w:t>инсталяций</w:t>
      </w:r>
      <w:proofErr w:type="spellEnd"/>
      <w:r>
        <w:rPr>
          <w:rFonts w:ascii="Times New Roman" w:hAnsi="Times New Roman"/>
          <w:b/>
        </w:rPr>
        <w:t xml:space="preserve">  (</w:t>
      </w:r>
      <w:proofErr w:type="gramEnd"/>
      <w:r>
        <w:rPr>
          <w:rFonts w:ascii="Times New Roman" w:hAnsi="Times New Roman"/>
          <w:b/>
        </w:rPr>
        <w:t>АРМ) за 2023-2025 гг.</w:t>
      </w: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</w:rPr>
        <w:t>Указывается среднее количество автоматизированных рабочих мест в медицинских организациях, в которых внедрена система (п</w:t>
      </w:r>
      <w:r>
        <w:rPr>
          <w:rFonts w:ascii="Times New Roman" w:hAnsi="Times New Roman"/>
        </w:rPr>
        <w:t>редоставлена возможность пользования ей в полном объеме или частично) в среднем за год в диапазоне указанного временного интервала на основе публичных контрактов.</w:t>
      </w: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Платформа, лицензионное ПО.</w:t>
      </w:r>
    </w:p>
    <w:p w:rsidR="00CA40BF" w:rsidRDefault="006C4019">
      <w:pPr>
        <w:spacing w:line="240" w:lineRule="auto"/>
        <w:ind w:firstLine="0"/>
        <w:rPr>
          <w:b/>
          <w:sz w:val="22"/>
          <w:szCs w:val="22"/>
        </w:rPr>
      </w:pPr>
      <w:r>
        <w:rPr>
          <w:sz w:val="22"/>
          <w:szCs w:val="22"/>
        </w:rPr>
        <w:t>Серверы, СУБД, ОС, языки программирования, на которых написано да</w:t>
      </w:r>
      <w:r>
        <w:rPr>
          <w:sz w:val="22"/>
          <w:szCs w:val="22"/>
        </w:rPr>
        <w:t xml:space="preserve">нное ПО. В данной строке необходимо указать какое лицензионное ПО используется (наименование). </w:t>
      </w: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Сервисное обслуживание в регионах.</w:t>
      </w:r>
      <w:r>
        <w:rPr>
          <w:rFonts w:ascii="Times New Roman" w:hAnsi="Times New Roman"/>
        </w:rPr>
        <w:t xml:space="preserve"> Необходимо указать количество регионов, в которых находятся авторизованные сервисные центры, уже занимающиеся обслуживанием с</w:t>
      </w:r>
      <w:r>
        <w:rPr>
          <w:rFonts w:ascii="Times New Roman" w:hAnsi="Times New Roman"/>
        </w:rPr>
        <w:t>истемы на основании заключенных контрактов. Под авторизованным сервисным центром понимается сервисная служба, расположенная на территории региона и способная обеспечивать непрерывное поддержание функционирования системы и экстренную поддержку ее работоспос</w:t>
      </w:r>
      <w:r>
        <w:rPr>
          <w:rFonts w:ascii="Times New Roman" w:hAnsi="Times New Roman"/>
        </w:rPr>
        <w:t>обности в установленные в контракте сроки. Данная функция может быть реализована, как самим разработчиком, так и его партнерами.</w:t>
      </w:r>
      <w:r>
        <w:rPr>
          <w:rFonts w:ascii="Times New Roman" w:eastAsia="Times New Roman" w:hAnsi="Times New Roman"/>
        </w:rPr>
        <w:t xml:space="preserve"> </w:t>
      </w:r>
    </w:p>
    <w:p w:rsidR="00CA40BF" w:rsidRDefault="006C4019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Простота в эксплуатации.</w:t>
      </w:r>
      <w:r>
        <w:rPr>
          <w:rFonts w:ascii="Times New Roman" w:hAnsi="Times New Roman"/>
        </w:rPr>
        <w:t xml:space="preserve"> Отметить в случае соответствия следующим условиям: обучение пользователей работе с системой в объеме </w:t>
      </w:r>
      <w:r>
        <w:rPr>
          <w:rFonts w:ascii="Times New Roman" w:hAnsi="Times New Roman"/>
        </w:rPr>
        <w:t>не более 4 часов - при наличии базовых навыков работы на компьютере, и не более 8 часов - при их отсутствии.</w:t>
      </w:r>
      <w:r>
        <w:rPr>
          <w:rFonts w:ascii="Times New Roman" w:eastAsia="Times New Roman" w:hAnsi="Times New Roman"/>
        </w:rPr>
        <w:t xml:space="preserve"> </w:t>
      </w:r>
    </w:p>
    <w:p w:rsidR="00CA40BF" w:rsidRDefault="00CA40BF">
      <w:pPr>
        <w:pStyle w:val="af1"/>
        <w:spacing w:after="0" w:line="240" w:lineRule="auto"/>
        <w:ind w:left="0"/>
        <w:rPr>
          <w:rFonts w:ascii="Times New Roman" w:hAnsi="Times New Roman"/>
          <w:b/>
        </w:rPr>
      </w:pPr>
    </w:p>
    <w:p w:rsidR="00CA40BF" w:rsidRDefault="00CA40BF">
      <w:pPr>
        <w:jc w:val="right"/>
        <w:rPr>
          <w:b/>
        </w:rPr>
      </w:pPr>
    </w:p>
    <w:sectPr w:rsidR="00CA40BF">
      <w:pgSz w:w="11906" w:h="16838"/>
      <w:pgMar w:top="1134" w:right="1646" w:bottom="1134" w:left="900" w:header="0" w:footer="0" w:gutter="0"/>
      <w:cols w:space="135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E111D"/>
    <w:multiLevelType w:val="multilevel"/>
    <w:tmpl w:val="839C9D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017323"/>
    <w:multiLevelType w:val="multilevel"/>
    <w:tmpl w:val="A394171A"/>
    <w:lvl w:ilvl="0">
      <w:start w:val="1"/>
      <w:numFmt w:val="decimal"/>
      <w:pStyle w:val="1"/>
      <w:lvlText w:val="%1.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hadow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958"/>
        </w:tabs>
        <w:ind w:left="1958" w:hanging="851"/>
      </w:pPr>
      <w:rPr>
        <w:b/>
        <w:bCs/>
        <w:i w:val="0"/>
        <w:iCs w:val="0"/>
        <w:caps w:val="0"/>
        <w:smallCaps w:val="0"/>
        <w:strike w:val="0"/>
        <w:dstrike w:val="0"/>
        <w:shadow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958"/>
        </w:tabs>
        <w:ind w:left="540" w:firstLine="567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958"/>
        </w:tabs>
        <w:ind w:left="540" w:firstLine="567"/>
      </w:pPr>
      <w:rPr>
        <w:b w:val="0"/>
        <w:bCs w:val="0"/>
        <w:i w:val="0"/>
        <w:iCs w:val="0"/>
        <w:caps w:val="0"/>
        <w:smallCaps w:val="0"/>
        <w:strike w:val="0"/>
        <w:dstrike w:val="0"/>
        <w:shadow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958"/>
        </w:tabs>
        <w:ind w:left="540" w:firstLine="567"/>
      </w:pPr>
      <w:rPr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num" w:pos="2525"/>
        </w:tabs>
        <w:ind w:left="2525" w:hanging="567"/>
      </w:pPr>
    </w:lvl>
    <w:lvl w:ilvl="6">
      <w:start w:val="1"/>
      <w:numFmt w:val="decimal"/>
      <w:lvlText w:val="%5.%6.%7)"/>
      <w:lvlJc w:val="left"/>
      <w:pPr>
        <w:tabs>
          <w:tab w:val="num" w:pos="3659"/>
        </w:tabs>
        <w:ind w:left="3659" w:hanging="851"/>
      </w:pPr>
    </w:lvl>
    <w:lvl w:ilvl="7">
      <w:start w:val="1"/>
      <w:numFmt w:val="decimal"/>
      <w:lvlText w:val="%5.%6.%7.%8)"/>
      <w:lvlJc w:val="left"/>
      <w:pPr>
        <w:tabs>
          <w:tab w:val="num" w:pos="3942"/>
        </w:tabs>
        <w:ind w:left="3942" w:hanging="567"/>
      </w:pPr>
    </w:lvl>
    <w:lvl w:ilvl="8">
      <w:start w:val="1"/>
      <w:numFmt w:val="decimal"/>
      <w:lvlText w:val="%1.%2.%3.%4.%5.%6.%7.%8.%9."/>
      <w:lvlJc w:val="left"/>
      <w:pPr>
        <w:tabs>
          <w:tab w:val="num" w:pos="6660"/>
        </w:tabs>
        <w:ind w:left="4860" w:hanging="1440"/>
      </w:pPr>
    </w:lvl>
  </w:abstractNum>
  <w:abstractNum w:abstractNumId="2" w15:restartNumberingAfterBreak="0">
    <w:nsid w:val="516977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7A5A2149"/>
    <w:multiLevelType w:val="multilevel"/>
    <w:tmpl w:val="5D32B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</w:lvl>
    <w:lvl w:ilvl="2">
      <w:start w:val="1"/>
      <w:numFmt w:val="decimal"/>
      <w:pStyle w:val="a"/>
      <w:lvlText w:val="%1.%2.%3."/>
      <w:lvlJc w:val="left"/>
      <w:pPr>
        <w:tabs>
          <w:tab w:val="num" w:pos="1080"/>
        </w:tabs>
        <w:ind w:left="504" w:hanging="504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0BF"/>
    <w:rsid w:val="006C4019"/>
    <w:rsid w:val="00CA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CF2C"/>
  <w15:docId w15:val="{D64B4C23-DC11-46D6-B000-40F361D1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0742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basedOn w:val="a0"/>
    <w:next w:val="a0"/>
    <w:link w:val="10"/>
    <w:qFormat/>
    <w:rsid w:val="004B74BC"/>
    <w:pPr>
      <w:keepNext/>
      <w:numPr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0"/>
    <w:next w:val="a0"/>
    <w:link w:val="20"/>
    <w:qFormat/>
    <w:rsid w:val="004B74BC"/>
    <w:pPr>
      <w:keepNext/>
      <w:numPr>
        <w:ilvl w:val="1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paragraph" w:styleId="3">
    <w:name w:val="heading 3"/>
    <w:basedOn w:val="a1"/>
    <w:next w:val="a2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-1">
    <w:name w:val="Table Web 1"/>
    <w:basedOn w:val="a4"/>
    <w:uiPriority w:val="99"/>
    <w:semiHidden/>
    <w:unhideWhenUsed/>
    <w:rsid w:val="009D6D09"/>
    <w:pPr>
      <w:spacing w:line="360" w:lineRule="auto"/>
      <w:jc w:val="both"/>
    </w:pPr>
    <w:tblPr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uiPriority w:val="99"/>
    <w:semiHidden/>
    <w:unhideWhenUsed/>
    <w:rsid w:val="009D6D09"/>
    <w:pPr>
      <w:spacing w:line="360" w:lineRule="auto"/>
      <w:jc w:val="both"/>
    </w:pPr>
    <w:tblPr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Заголовок 1 Знак"/>
    <w:basedOn w:val="a3"/>
    <w:link w:val="1"/>
    <w:qFormat/>
    <w:rsid w:val="004B74BC"/>
    <w:rPr>
      <w:rFonts w:ascii="Arial" w:hAnsi="Arial" w:cs="Arial"/>
      <w:b/>
      <w:bCs/>
      <w:kern w:val="2"/>
      <w:sz w:val="32"/>
      <w:szCs w:val="32"/>
    </w:rPr>
  </w:style>
  <w:style w:type="paragraph" w:customStyle="1" w:styleId="11">
    <w:name w:val="Знак Знак Знак Знак Знак Знак Знак Знак1 Знак Знак Знак Знак Знак Знак Знак1"/>
    <w:basedOn w:val="a0"/>
    <w:qFormat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/>
      <w:ind w:firstLine="0"/>
      <w:jc w:val="left"/>
    </w:pPr>
    <w:rPr>
      <w:rFonts w:ascii="Verdana" w:hAnsi="Verdana" w:cs="Verdana"/>
      <w:sz w:val="20"/>
      <w:lang w:val="en-US"/>
    </w:rPr>
  </w:style>
  <w:style w:type="table" w:customStyle="1" w:styleId="12">
    <w:name w:val="Стиль1"/>
    <w:basedOn w:val="-1"/>
    <w:uiPriority w:val="99"/>
    <w:qFormat/>
    <w:rsid w:val="009D6D09"/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">
    <w:name w:val="Светлая сетка1"/>
    <w:basedOn w:val="a4"/>
    <w:uiPriority w:val="62"/>
    <w:rsid w:val="00A4691F"/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20">
    <w:name w:val="Заголовок 2 Знак"/>
    <w:basedOn w:val="a3"/>
    <w:link w:val="2"/>
    <w:qFormat/>
    <w:rsid w:val="004B74BC"/>
    <w:rPr>
      <w:b/>
      <w:bCs/>
      <w:sz w:val="24"/>
      <w:szCs w:val="24"/>
    </w:rPr>
  </w:style>
  <w:style w:type="table" w:customStyle="1" w:styleId="21">
    <w:name w:val="Стиль2"/>
    <w:basedOn w:val="-3"/>
    <w:uiPriority w:val="99"/>
    <w:qFormat/>
    <w:rsid w:val="009D6D09"/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Balloon Text"/>
    <w:basedOn w:val="a0"/>
    <w:semiHidden/>
    <w:qFormat/>
    <w:rsid w:val="001D697B"/>
    <w:rPr>
      <w:rFonts w:ascii="Tahoma" w:hAnsi="Tahoma" w:cs="Tahoma"/>
      <w:sz w:val="16"/>
      <w:szCs w:val="16"/>
    </w:rPr>
  </w:style>
  <w:style w:type="paragraph" w:styleId="a2">
    <w:name w:val="Body Text"/>
    <w:basedOn w:val="a0"/>
    <w:link w:val="a7"/>
    <w:rsid w:val="00D621E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8">
    <w:name w:val="caption"/>
    <w:basedOn w:val="a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a9">
    <w:name w:val="annotation reference"/>
    <w:basedOn w:val="a3"/>
    <w:semiHidden/>
    <w:qFormat/>
    <w:rsid w:val="001D697B"/>
    <w:rPr>
      <w:sz w:val="16"/>
      <w:szCs w:val="16"/>
    </w:rPr>
  </w:style>
  <w:style w:type="paragraph" w:styleId="aa">
    <w:name w:val="annotation text"/>
    <w:basedOn w:val="a0"/>
    <w:semiHidden/>
    <w:qFormat/>
    <w:rsid w:val="001D697B"/>
    <w:rPr>
      <w:sz w:val="20"/>
    </w:rPr>
  </w:style>
  <w:style w:type="paragraph" w:styleId="ab">
    <w:name w:val="footer"/>
    <w:basedOn w:val="a0"/>
    <w:link w:val="ac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d">
    <w:name w:val="header"/>
    <w:basedOn w:val="a0"/>
    <w:link w:val="ae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character" w:styleId="af">
    <w:name w:val="Hyperlink"/>
    <w:basedOn w:val="a3"/>
    <w:uiPriority w:val="99"/>
    <w:unhideWhenUsed/>
    <w:rsid w:val="004605A5"/>
    <w:rPr>
      <w:color w:val="0000FF"/>
      <w:u w:val="single"/>
    </w:rPr>
  </w:style>
  <w:style w:type="paragraph" w:customStyle="1" w:styleId="Iniiaiieoaeno">
    <w:name w:val="Iniiaiie oaeno"/>
    <w:basedOn w:val="a0"/>
    <w:qFormat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styleId="af0">
    <w:name w:val="List"/>
    <w:basedOn w:val="a2"/>
    <w:rPr>
      <w:rFonts w:cs="Lucida Sans"/>
    </w:rPr>
  </w:style>
  <w:style w:type="paragraph" w:styleId="af1">
    <w:name w:val="List Paragraph"/>
    <w:basedOn w:val="a0"/>
    <w:uiPriority w:val="34"/>
    <w:qFormat/>
    <w:rsid w:val="00854097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af2">
    <w:name w:val="Strong"/>
    <w:qFormat/>
    <w:rPr>
      <w:b/>
      <w:bCs/>
    </w:rPr>
  </w:style>
  <w:style w:type="character" w:customStyle="1" w:styleId="af3">
    <w:name w:val="Текст документа Знак"/>
    <w:basedOn w:val="a3"/>
    <w:link w:val="af4"/>
    <w:qFormat/>
    <w:rsid w:val="004B74BC"/>
    <w:rPr>
      <w:sz w:val="24"/>
      <w:szCs w:val="24"/>
    </w:rPr>
  </w:style>
  <w:style w:type="character" w:customStyle="1" w:styleId="af5">
    <w:name w:val="Пункт Знак"/>
    <w:basedOn w:val="a3"/>
    <w:link w:val="a"/>
    <w:qFormat/>
    <w:rsid w:val="004B74BC"/>
    <w:rPr>
      <w:sz w:val="24"/>
      <w:szCs w:val="28"/>
    </w:rPr>
  </w:style>
  <w:style w:type="character" w:customStyle="1" w:styleId="a7">
    <w:name w:val="Основной текст Знак"/>
    <w:basedOn w:val="a3"/>
    <w:link w:val="a2"/>
    <w:qFormat/>
    <w:rsid w:val="00D64B1D"/>
  </w:style>
  <w:style w:type="character" w:customStyle="1" w:styleId="ae">
    <w:name w:val="Верхний колонтитул Знак"/>
    <w:basedOn w:val="a3"/>
    <w:link w:val="ad"/>
    <w:uiPriority w:val="99"/>
    <w:semiHidden/>
    <w:qFormat/>
    <w:rsid w:val="00E74645"/>
    <w:rPr>
      <w:sz w:val="28"/>
    </w:rPr>
  </w:style>
  <w:style w:type="character" w:customStyle="1" w:styleId="ac">
    <w:name w:val="Нижний колонтитул Знак"/>
    <w:basedOn w:val="a3"/>
    <w:link w:val="ab"/>
    <w:uiPriority w:val="99"/>
    <w:semiHidden/>
    <w:qFormat/>
    <w:rsid w:val="00E74645"/>
    <w:rPr>
      <w:sz w:val="28"/>
    </w:rPr>
  </w:style>
  <w:style w:type="character" w:customStyle="1" w:styleId="af6">
    <w:name w:val="Маркеры"/>
    <w:qFormat/>
    <w:rPr>
      <w:rFonts w:ascii="OpenSymbol" w:eastAsia="OpenSymbol" w:hAnsi="OpenSymbol" w:cs="OpenSymbol"/>
    </w:rPr>
  </w:style>
  <w:style w:type="paragraph" w:styleId="a1">
    <w:name w:val="Title"/>
    <w:basedOn w:val="a0"/>
    <w:next w:val="a0"/>
    <w:qFormat/>
    <w:pPr>
      <w:spacing w:afterAutospacing="1"/>
    </w:pPr>
    <w:rPr>
      <w:sz w:val="52"/>
    </w:rPr>
  </w:style>
  <w:style w:type="paragraph" w:styleId="af7">
    <w:name w:val="index heading"/>
    <w:basedOn w:val="a0"/>
    <w:qFormat/>
    <w:pPr>
      <w:suppressLineNumbers/>
    </w:pPr>
    <w:rPr>
      <w:rFonts w:cs="Lucida Sans"/>
    </w:rPr>
  </w:style>
  <w:style w:type="paragraph" w:customStyle="1" w:styleId="a">
    <w:name w:val="Пункт"/>
    <w:basedOn w:val="a0"/>
    <w:link w:val="af5"/>
    <w:qFormat/>
    <w:rsid w:val="004B74BC"/>
    <w:pPr>
      <w:numPr>
        <w:ilvl w:val="2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f8">
    <w:name w:val="Подпункт"/>
    <w:basedOn w:val="a"/>
    <w:qFormat/>
    <w:rsid w:val="004B74BC"/>
    <w:pPr>
      <w:tabs>
        <w:tab w:val="left" w:pos="1080"/>
      </w:tabs>
    </w:pPr>
  </w:style>
  <w:style w:type="paragraph" w:customStyle="1" w:styleId="af4">
    <w:name w:val="Текст документа"/>
    <w:basedOn w:val="a0"/>
    <w:link w:val="af3"/>
    <w:qFormat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paragraph" w:customStyle="1" w:styleId="af9">
    <w:name w:val="Колонтитул"/>
    <w:basedOn w:val="a0"/>
    <w:qFormat/>
  </w:style>
  <w:style w:type="paragraph" w:customStyle="1" w:styleId="afa">
    <w:name w:val="Колонтитулы"/>
    <w:basedOn w:val="a0"/>
    <w:qFormat/>
  </w:style>
  <w:style w:type="paragraph" w:customStyle="1" w:styleId="afb">
    <w:name w:val="Содержимое врезки"/>
    <w:basedOn w:val="a0"/>
    <w:qFormat/>
  </w:style>
  <w:style w:type="paragraph" w:styleId="afc">
    <w:name w:val="Subtitle"/>
    <w:basedOn w:val="a0"/>
    <w:next w:val="a0"/>
    <w:qFormat/>
    <w:pPr>
      <w:spacing w:afterAutospacing="1"/>
    </w:pPr>
    <w:rPr>
      <w:color w:val="808080"/>
      <w:sz w:val="30"/>
    </w:rPr>
  </w:style>
  <w:style w:type="table" w:styleId="afd">
    <w:name w:val="Table Grid"/>
    <w:basedOn w:val="a4"/>
    <w:uiPriority w:val="59"/>
    <w:rsid w:val="004B7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subject"/>
    <w:basedOn w:val="aa"/>
    <w:next w:val="aa"/>
    <w:semiHidden/>
    <w:qFormat/>
    <w:rsid w:val="001D697B"/>
    <w:rPr>
      <w:b/>
      <w:bCs/>
    </w:rPr>
  </w:style>
  <w:style w:type="character" w:customStyle="1" w:styleId="hdr-4-n">
    <w:name w:val="hdr-4-n"/>
    <w:basedOn w:val="a3"/>
    <w:qFormat/>
    <w:rsid w:val="007860C8"/>
  </w:style>
  <w:style w:type="paragraph" w:customStyle="1" w:styleId="user">
    <w:name w:val="Заголовок (user)"/>
    <w:basedOn w:val="a0"/>
    <w:next w:val="a2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Указатель (user)"/>
    <w:basedOn w:val="a0"/>
    <w:qFormat/>
    <w:pPr>
      <w:suppressLineNumbers/>
    </w:pPr>
    <w:rPr>
      <w:rFonts w:cs="Lucida Sans"/>
    </w:rPr>
  </w:style>
  <w:style w:type="paragraph" w:customStyle="1" w:styleId="user1">
    <w:name w:val="Колонтитулы (user)"/>
    <w:basedOn w:val="a0"/>
    <w:qFormat/>
  </w:style>
  <w:style w:type="paragraph" w:customStyle="1" w:styleId="user2">
    <w:name w:val="Содержимое врезки (user)"/>
    <w:basedOn w:val="a0"/>
    <w:qFormat/>
  </w:style>
  <w:style w:type="paragraph" w:customStyle="1" w:styleId="user3">
    <w:name w:val="Содержимое таблицы (user)"/>
    <w:basedOn w:val="a0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numbering" w:customStyle="1" w:styleId="user5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CF84D-8B4D-4CF8-87BD-5AB37CF32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1004</Words>
  <Characters>5729</Characters>
  <Application>Microsoft Office Word</Application>
  <DocSecurity>0</DocSecurity>
  <Lines>47</Lines>
  <Paragraphs>13</Paragraphs>
  <ScaleCrop>false</ScaleCrop>
  <Company>Наука и Образование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децентрализованный контакт-центр Минздрава Хабаровского края</dc:title>
  <dc:subject>Заявка на конкурс «Лучшее ИТ решение для здравоохранения 2026»</dc:subject>
  <dc:creator>Мухин Юрий Юрьевич</dc:creator>
  <dc:description>Заполнено по фактуре кейса ЕДК и образцу заявки 2025 года.</dc:description>
  <cp:lastModifiedBy>rustam</cp:lastModifiedBy>
  <cp:revision>16</cp:revision>
  <cp:lastPrinted>2026-09-01T17:04:00Z</cp:lastPrinted>
  <dcterms:created xsi:type="dcterms:W3CDTF">2025-06-26T14:33:00Z</dcterms:created>
  <dcterms:modified xsi:type="dcterms:W3CDTF">2026-09-11T06:32:00Z</dcterms:modified>
  <dc:language>ru-RU</dc:language>
</cp:coreProperties>
</file>